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BAD" w:rsidRDefault="00A46BAD" w:rsidP="004758AA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A46BAD" w:rsidRDefault="00A46BAD" w:rsidP="004758AA">
      <w:pPr>
        <w:jc w:val="center"/>
        <w:rPr>
          <w:b/>
          <w:sz w:val="24"/>
          <w:szCs w:val="24"/>
        </w:rPr>
      </w:pPr>
    </w:p>
    <w:p w:rsidR="00A46BAD" w:rsidRDefault="00A46BAD" w:rsidP="004758AA">
      <w:pPr>
        <w:jc w:val="center"/>
        <w:rPr>
          <w:b/>
          <w:sz w:val="24"/>
          <w:szCs w:val="24"/>
        </w:rPr>
      </w:pPr>
    </w:p>
    <w:p w:rsidR="00A46BAD" w:rsidRDefault="00A46BAD" w:rsidP="004758AA">
      <w:pPr>
        <w:jc w:val="center"/>
        <w:rPr>
          <w:b/>
          <w:sz w:val="24"/>
          <w:szCs w:val="24"/>
        </w:rPr>
      </w:pPr>
    </w:p>
    <w:p w:rsidR="00A46BAD" w:rsidRDefault="00A46BAD" w:rsidP="004758AA">
      <w:pPr>
        <w:jc w:val="center"/>
        <w:rPr>
          <w:b/>
          <w:sz w:val="24"/>
          <w:szCs w:val="24"/>
        </w:rPr>
      </w:pPr>
    </w:p>
    <w:p w:rsidR="00A46BAD" w:rsidRDefault="00A46BAD" w:rsidP="004758AA">
      <w:pPr>
        <w:jc w:val="center"/>
        <w:rPr>
          <w:b/>
          <w:sz w:val="24"/>
          <w:szCs w:val="24"/>
        </w:rPr>
      </w:pPr>
    </w:p>
    <w:p w:rsidR="00A46BAD" w:rsidRDefault="00A46BAD" w:rsidP="004758AA">
      <w:pPr>
        <w:jc w:val="center"/>
        <w:rPr>
          <w:b/>
          <w:sz w:val="24"/>
          <w:szCs w:val="24"/>
        </w:rPr>
      </w:pPr>
    </w:p>
    <w:p w:rsidR="00A46BAD" w:rsidRDefault="00A46BAD" w:rsidP="004758AA">
      <w:pPr>
        <w:jc w:val="center"/>
        <w:rPr>
          <w:b/>
          <w:sz w:val="24"/>
          <w:szCs w:val="24"/>
        </w:rPr>
      </w:pPr>
    </w:p>
    <w:p w:rsidR="007407CC" w:rsidRDefault="007407CC" w:rsidP="004758AA">
      <w:pPr>
        <w:jc w:val="center"/>
        <w:rPr>
          <w:b/>
          <w:sz w:val="24"/>
          <w:szCs w:val="24"/>
        </w:rPr>
      </w:pPr>
    </w:p>
    <w:p w:rsidR="007407CC" w:rsidRDefault="007407CC" w:rsidP="004758AA">
      <w:pPr>
        <w:jc w:val="center"/>
        <w:rPr>
          <w:b/>
          <w:sz w:val="24"/>
          <w:szCs w:val="24"/>
        </w:rPr>
      </w:pPr>
    </w:p>
    <w:p w:rsidR="0083559F" w:rsidRPr="00040993" w:rsidRDefault="0083559F" w:rsidP="004758AA">
      <w:pPr>
        <w:jc w:val="center"/>
        <w:rPr>
          <w:b/>
          <w:sz w:val="24"/>
          <w:szCs w:val="24"/>
        </w:rPr>
      </w:pPr>
      <w:r w:rsidRPr="00040993">
        <w:rPr>
          <w:b/>
          <w:sz w:val="24"/>
          <w:szCs w:val="24"/>
        </w:rPr>
        <w:t xml:space="preserve">Docket No. </w:t>
      </w:r>
      <w:r w:rsidR="00C21157" w:rsidRPr="00040993">
        <w:rPr>
          <w:b/>
          <w:sz w:val="24"/>
          <w:szCs w:val="24"/>
        </w:rPr>
        <w:t>32235</w:t>
      </w:r>
    </w:p>
    <w:p w:rsidR="0083559F" w:rsidRPr="00040993" w:rsidRDefault="0083559F" w:rsidP="004758AA">
      <w:pPr>
        <w:rPr>
          <w:sz w:val="24"/>
          <w:szCs w:val="24"/>
        </w:rPr>
      </w:pPr>
    </w:p>
    <w:p w:rsidR="0083559F" w:rsidRPr="00040993" w:rsidRDefault="0083559F" w:rsidP="004758AA">
      <w:pPr>
        <w:ind w:left="1440" w:hanging="1440"/>
        <w:rPr>
          <w:sz w:val="24"/>
          <w:szCs w:val="24"/>
        </w:rPr>
      </w:pPr>
      <w:r w:rsidRPr="00040993">
        <w:rPr>
          <w:sz w:val="24"/>
          <w:szCs w:val="24"/>
        </w:rPr>
        <w:t>In Re:</w:t>
      </w:r>
      <w:r w:rsidRPr="00040993">
        <w:rPr>
          <w:sz w:val="24"/>
          <w:szCs w:val="24"/>
        </w:rPr>
        <w:tab/>
      </w:r>
      <w:r w:rsidR="00C21157" w:rsidRPr="00040993">
        <w:rPr>
          <w:sz w:val="24"/>
          <w:szCs w:val="24"/>
        </w:rPr>
        <w:t>Generic Proceeding to Implement House Bill 168</w:t>
      </w:r>
    </w:p>
    <w:p w:rsidR="0083559F" w:rsidRPr="00040993" w:rsidRDefault="0083559F" w:rsidP="004758AA">
      <w:pPr>
        <w:rPr>
          <w:sz w:val="24"/>
          <w:szCs w:val="24"/>
        </w:rPr>
      </w:pPr>
    </w:p>
    <w:p w:rsidR="0083559F" w:rsidRPr="00040993" w:rsidRDefault="0083559F" w:rsidP="004758AA">
      <w:pPr>
        <w:jc w:val="center"/>
        <w:rPr>
          <w:sz w:val="24"/>
          <w:szCs w:val="24"/>
        </w:rPr>
      </w:pPr>
    </w:p>
    <w:p w:rsidR="0083559F" w:rsidRPr="00040993" w:rsidRDefault="0083559F" w:rsidP="004758AA">
      <w:pPr>
        <w:jc w:val="center"/>
        <w:rPr>
          <w:b/>
          <w:sz w:val="24"/>
          <w:szCs w:val="24"/>
          <w:u w:val="single"/>
        </w:rPr>
      </w:pPr>
      <w:r w:rsidRPr="00040993">
        <w:rPr>
          <w:b/>
          <w:sz w:val="24"/>
          <w:szCs w:val="24"/>
          <w:u w:val="single"/>
        </w:rPr>
        <w:t xml:space="preserve">ORDER </w:t>
      </w:r>
      <w:r w:rsidR="00C21157" w:rsidRPr="00040993">
        <w:rPr>
          <w:b/>
          <w:sz w:val="24"/>
          <w:szCs w:val="24"/>
          <w:u w:val="single"/>
        </w:rPr>
        <w:t>ADJUSTING BENCHMARK LOCAL SERVICE RATE FOR INFLATION</w:t>
      </w:r>
    </w:p>
    <w:p w:rsidR="0083559F" w:rsidRPr="00040993" w:rsidRDefault="0083559F" w:rsidP="004758AA">
      <w:pPr>
        <w:jc w:val="center"/>
        <w:rPr>
          <w:b/>
          <w:sz w:val="24"/>
          <w:szCs w:val="24"/>
          <w:u w:val="single"/>
        </w:rPr>
      </w:pPr>
    </w:p>
    <w:p w:rsidR="00C21157" w:rsidRPr="00040993" w:rsidRDefault="00C21157" w:rsidP="004758AA">
      <w:pPr>
        <w:rPr>
          <w:sz w:val="24"/>
        </w:rPr>
      </w:pPr>
    </w:p>
    <w:p w:rsidR="00F95D5C" w:rsidRPr="00040993" w:rsidRDefault="00C21157" w:rsidP="004758AA">
      <w:pPr>
        <w:jc w:val="both"/>
        <w:rPr>
          <w:sz w:val="24"/>
        </w:rPr>
      </w:pPr>
      <w:r w:rsidRPr="00040993">
        <w:rPr>
          <w:sz w:val="24"/>
        </w:rPr>
        <w:tab/>
      </w:r>
      <w:r w:rsidR="00F95D5C" w:rsidRPr="00040993">
        <w:rPr>
          <w:sz w:val="24"/>
        </w:rPr>
        <w:t>In its November 23, 2010 Order Implementing House Bill 168, the Georgia Public Service Commission set the benchmark residential local service rate at $18.54.  The benchmark rate was calculated by multiplying 110% times the statewide weighted average residential rate in accordance with 46-5-167(d)(2)(A).  The law further requires that the Commission adjust the benchmark rate annually for inflation measured by the change i</w:t>
      </w:r>
      <w:r w:rsidR="000765C6">
        <w:rPr>
          <w:sz w:val="24"/>
        </w:rPr>
        <w:t>n</w:t>
      </w:r>
      <w:r w:rsidR="00F95D5C" w:rsidRPr="00040993">
        <w:rPr>
          <w:sz w:val="24"/>
        </w:rPr>
        <w:t xml:space="preserve"> GDP-PI.</w:t>
      </w:r>
    </w:p>
    <w:p w:rsidR="00F95D5C" w:rsidRPr="00040993" w:rsidRDefault="00F95D5C" w:rsidP="004758AA">
      <w:pPr>
        <w:rPr>
          <w:b/>
          <w:sz w:val="24"/>
        </w:rPr>
      </w:pPr>
    </w:p>
    <w:p w:rsidR="004758AA" w:rsidRPr="00040993" w:rsidRDefault="00F95D5C" w:rsidP="004758AA">
      <w:pPr>
        <w:ind w:firstLine="720"/>
        <w:jc w:val="both"/>
        <w:rPr>
          <w:sz w:val="24"/>
        </w:rPr>
      </w:pPr>
      <w:r w:rsidRPr="00040993">
        <w:rPr>
          <w:sz w:val="24"/>
        </w:rPr>
        <w:t>On September 9, 2011, the Commission found the rate of inflation for the period January 1, 2010 through December 31, 2010 to be 1.57%, and the benchmark rate was increased to $18.83.</w:t>
      </w:r>
      <w:r w:rsidR="0010592A" w:rsidRPr="00040993">
        <w:rPr>
          <w:sz w:val="24"/>
        </w:rPr>
        <w:t xml:space="preserve"> </w:t>
      </w:r>
      <w:r w:rsidRPr="00040993">
        <w:rPr>
          <w:sz w:val="24"/>
        </w:rPr>
        <w:t>On October 10, 2012, the Commission found the rate of inflation for the period January 1, 2011 through December 31, 2011 to be 1.97%, and the benchmark rate was increased to $19.20.</w:t>
      </w:r>
      <w:r w:rsidR="004758AA" w:rsidRPr="00040993">
        <w:rPr>
          <w:sz w:val="24"/>
        </w:rPr>
        <w:t xml:space="preserve">  On October 17, 2013, the Commission found the rate of inflation for the period January 1, 2012 through December 31, 2012 to be 1.79%, and the benchmark rate was increased to $19.54.</w:t>
      </w:r>
      <w:r w:rsidR="0071321A">
        <w:rPr>
          <w:sz w:val="24"/>
        </w:rPr>
        <w:t xml:space="preserve">  On October 24, 2014, the Commission found the rate of inflation for the period January 1, 2013 through December 31, 2013 to be 1.44%, and the benchmark rate was increased to $19.82.</w:t>
      </w:r>
      <w:r w:rsidR="003C108C">
        <w:rPr>
          <w:sz w:val="24"/>
        </w:rPr>
        <w:t xml:space="preserve">  On </w:t>
      </w:r>
      <w:r w:rsidR="00E81EF0">
        <w:rPr>
          <w:sz w:val="24"/>
        </w:rPr>
        <w:t>October 7, 2015</w:t>
      </w:r>
      <w:r w:rsidR="003C108C">
        <w:rPr>
          <w:sz w:val="24"/>
        </w:rPr>
        <w:t>, the Commission found the rate of inflation for the period January 1, 2014 through December 31, 2014 to be 1.35%, and the benchmark rate was increased to $20.09.</w:t>
      </w:r>
      <w:r w:rsidR="00741840">
        <w:rPr>
          <w:sz w:val="24"/>
        </w:rPr>
        <w:t xml:space="preserve">  On October 5, 2016, the Commission found the rate of inflation for the period January 1, 2015 through December 31, 2015 to be 1.08%, and the benchmark rate was increased to $20.31.</w:t>
      </w:r>
      <w:r w:rsidR="0060196A">
        <w:rPr>
          <w:sz w:val="24"/>
        </w:rPr>
        <w:t xml:space="preserve">  On October 23, 2017, the Commission found the rate of inflation for the period January 1, 2016 through December 31, 2016 to be 1.52%, and the benchmark rate was increased to $20.62.</w:t>
      </w:r>
      <w:r w:rsidR="006D25CA">
        <w:rPr>
          <w:sz w:val="24"/>
        </w:rPr>
        <w:t xml:space="preserve">  On October 4, 2018, the Commission found the rate of inflation for the period January 1, 2017 through December 31, 2017 to be 1.97%, and the benchmark rate was increased to $21.03.</w:t>
      </w:r>
    </w:p>
    <w:p w:rsidR="00F95D5C" w:rsidRPr="00040993" w:rsidRDefault="00F95D5C" w:rsidP="004758AA">
      <w:pPr>
        <w:rPr>
          <w:sz w:val="24"/>
        </w:rPr>
      </w:pPr>
    </w:p>
    <w:p w:rsidR="00F95D5C" w:rsidRPr="00040993" w:rsidRDefault="00F95D5C" w:rsidP="004758AA">
      <w:pPr>
        <w:jc w:val="both"/>
        <w:rPr>
          <w:sz w:val="24"/>
        </w:rPr>
      </w:pPr>
      <w:r w:rsidRPr="00040993">
        <w:rPr>
          <w:sz w:val="24"/>
        </w:rPr>
        <w:lastRenderedPageBreak/>
        <w:tab/>
        <w:t>The</w:t>
      </w:r>
      <w:r w:rsidR="0010592A" w:rsidRPr="00040993">
        <w:rPr>
          <w:sz w:val="24"/>
        </w:rPr>
        <w:t xml:space="preserve"> </w:t>
      </w:r>
      <w:r w:rsidRPr="00040993">
        <w:rPr>
          <w:sz w:val="24"/>
        </w:rPr>
        <w:t xml:space="preserve">rate of inflation for the period January 1, </w:t>
      </w:r>
      <w:r w:rsidR="006D25CA">
        <w:rPr>
          <w:sz w:val="24"/>
        </w:rPr>
        <w:t>2018</w:t>
      </w:r>
      <w:r w:rsidR="006D25CA" w:rsidRPr="00040993">
        <w:rPr>
          <w:sz w:val="24"/>
        </w:rPr>
        <w:t xml:space="preserve"> </w:t>
      </w:r>
      <w:r w:rsidRPr="00040993">
        <w:rPr>
          <w:sz w:val="24"/>
        </w:rPr>
        <w:t xml:space="preserve">through December 31, </w:t>
      </w:r>
      <w:r w:rsidR="006D25CA">
        <w:rPr>
          <w:sz w:val="24"/>
        </w:rPr>
        <w:t xml:space="preserve">2018 </w:t>
      </w:r>
      <w:r w:rsidR="00E81EF0">
        <w:rPr>
          <w:sz w:val="24"/>
        </w:rPr>
        <w:t>was found</w:t>
      </w:r>
      <w:r w:rsidR="0010592A" w:rsidRPr="00040993">
        <w:rPr>
          <w:sz w:val="24"/>
        </w:rPr>
        <w:t xml:space="preserve"> </w:t>
      </w:r>
      <w:r w:rsidRPr="00040993">
        <w:rPr>
          <w:sz w:val="24"/>
        </w:rPr>
        <w:t xml:space="preserve">to be </w:t>
      </w:r>
      <w:r w:rsidR="00C35969">
        <w:rPr>
          <w:sz w:val="24"/>
        </w:rPr>
        <w:t>2.30</w:t>
      </w:r>
      <w:r w:rsidRPr="00040993">
        <w:rPr>
          <w:sz w:val="24"/>
        </w:rPr>
        <w:t xml:space="preserve">%.  </w:t>
      </w:r>
      <w:r w:rsidR="004758AA" w:rsidRPr="00040993">
        <w:rPr>
          <w:sz w:val="24"/>
        </w:rPr>
        <w:t>Therefore</w:t>
      </w:r>
      <w:r w:rsidR="0010592A" w:rsidRPr="00040993">
        <w:rPr>
          <w:sz w:val="24"/>
        </w:rPr>
        <w:t xml:space="preserve">, </w:t>
      </w:r>
      <w:r w:rsidR="004758AA" w:rsidRPr="00040993">
        <w:rPr>
          <w:sz w:val="24"/>
        </w:rPr>
        <w:t xml:space="preserve">the Staff recommended that </w:t>
      </w:r>
      <w:r w:rsidR="0010592A" w:rsidRPr="00040993">
        <w:rPr>
          <w:sz w:val="24"/>
        </w:rPr>
        <w:t>the</w:t>
      </w:r>
      <w:r w:rsidRPr="00040993">
        <w:rPr>
          <w:sz w:val="24"/>
        </w:rPr>
        <w:t xml:space="preserve"> benchmark rate increase to $</w:t>
      </w:r>
      <w:r w:rsidR="00C35969">
        <w:rPr>
          <w:sz w:val="24"/>
        </w:rPr>
        <w:t>21.51</w:t>
      </w:r>
      <w:r w:rsidRPr="00040993">
        <w:rPr>
          <w:sz w:val="24"/>
        </w:rPr>
        <w:t>.</w:t>
      </w:r>
    </w:p>
    <w:p w:rsidR="00960454" w:rsidRPr="00040993" w:rsidRDefault="00960454" w:rsidP="00040993">
      <w:pPr>
        <w:jc w:val="both"/>
        <w:rPr>
          <w:sz w:val="24"/>
        </w:rPr>
      </w:pPr>
    </w:p>
    <w:p w:rsidR="00AD68EB" w:rsidRPr="00040993" w:rsidRDefault="00C21157" w:rsidP="00040993">
      <w:pPr>
        <w:jc w:val="both"/>
        <w:rPr>
          <w:sz w:val="24"/>
          <w:szCs w:val="24"/>
        </w:rPr>
      </w:pPr>
      <w:r w:rsidRPr="00040993">
        <w:rPr>
          <w:b/>
          <w:sz w:val="24"/>
          <w:szCs w:val="24"/>
        </w:rPr>
        <w:tab/>
      </w:r>
      <w:r w:rsidRPr="00040993">
        <w:rPr>
          <w:sz w:val="24"/>
          <w:szCs w:val="24"/>
        </w:rPr>
        <w:t>The Commission adopts the Staff’s recommendation.</w:t>
      </w:r>
    </w:p>
    <w:p w:rsidR="0083559F" w:rsidRPr="00040993" w:rsidRDefault="0083559F" w:rsidP="00040993">
      <w:pPr>
        <w:rPr>
          <w:b/>
          <w:sz w:val="24"/>
          <w:szCs w:val="24"/>
        </w:rPr>
      </w:pPr>
    </w:p>
    <w:p w:rsidR="00C21157" w:rsidRPr="00040993" w:rsidRDefault="00C21157" w:rsidP="00040993">
      <w:pPr>
        <w:rPr>
          <w:b/>
          <w:sz w:val="24"/>
          <w:szCs w:val="24"/>
        </w:rPr>
      </w:pPr>
    </w:p>
    <w:p w:rsidR="00554D56" w:rsidRPr="00040993" w:rsidRDefault="00554D56" w:rsidP="00040993">
      <w:pPr>
        <w:jc w:val="center"/>
      </w:pPr>
      <w:r w:rsidRPr="00040993">
        <w:t>*</w:t>
      </w:r>
      <w:r w:rsidRPr="00040993">
        <w:tab/>
        <w:t>*</w:t>
      </w:r>
      <w:r w:rsidRPr="00040993">
        <w:tab/>
        <w:t>*</w:t>
      </w:r>
      <w:r w:rsidRPr="00040993">
        <w:tab/>
        <w:t>*</w:t>
      </w:r>
      <w:r w:rsidRPr="00040993">
        <w:tab/>
        <w:t>*</w:t>
      </w:r>
    </w:p>
    <w:p w:rsidR="00554D56" w:rsidRDefault="00554D56" w:rsidP="00040993">
      <w:pPr>
        <w:jc w:val="center"/>
      </w:pPr>
    </w:p>
    <w:p w:rsidR="00D91A32" w:rsidRPr="00040993" w:rsidRDefault="00D91A32" w:rsidP="00040993">
      <w:pPr>
        <w:jc w:val="center"/>
      </w:pPr>
    </w:p>
    <w:p w:rsidR="00554D56" w:rsidRPr="00040993" w:rsidRDefault="00554D56" w:rsidP="00040993">
      <w:pPr>
        <w:pStyle w:val="BodyTextIndent3"/>
        <w:tabs>
          <w:tab w:val="left" w:pos="0"/>
        </w:tabs>
        <w:spacing w:before="0" w:beforeAutospacing="0" w:after="0" w:afterAutospacing="0"/>
        <w:outlineLvl w:val="0"/>
        <w:rPr>
          <w:b/>
        </w:rPr>
      </w:pPr>
      <w:r w:rsidRPr="00040993">
        <w:rPr>
          <w:b/>
        </w:rPr>
        <w:t>WHEREFORE, it is</w:t>
      </w:r>
    </w:p>
    <w:p w:rsidR="00C21157" w:rsidRPr="00040993" w:rsidRDefault="00C21157" w:rsidP="004758AA">
      <w:pPr>
        <w:rPr>
          <w:b/>
          <w:sz w:val="24"/>
          <w:szCs w:val="24"/>
        </w:rPr>
      </w:pPr>
    </w:p>
    <w:p w:rsidR="0083559F" w:rsidRPr="00040993" w:rsidRDefault="00554D56" w:rsidP="004758AA">
      <w:pPr>
        <w:rPr>
          <w:sz w:val="24"/>
          <w:szCs w:val="24"/>
        </w:rPr>
      </w:pPr>
      <w:r w:rsidRPr="00040993">
        <w:rPr>
          <w:b/>
          <w:sz w:val="24"/>
          <w:szCs w:val="24"/>
        </w:rPr>
        <w:tab/>
        <w:t>ORDERED</w:t>
      </w:r>
      <w:r w:rsidRPr="00040993">
        <w:rPr>
          <w:sz w:val="24"/>
          <w:szCs w:val="24"/>
        </w:rPr>
        <w:t>,</w:t>
      </w:r>
      <w:r w:rsidR="002913F2" w:rsidRPr="00040993">
        <w:rPr>
          <w:sz w:val="24"/>
          <w:szCs w:val="24"/>
        </w:rPr>
        <w:t xml:space="preserve"> that </w:t>
      </w:r>
      <w:r w:rsidR="00C21157" w:rsidRPr="00040993">
        <w:rPr>
          <w:sz w:val="24"/>
          <w:szCs w:val="24"/>
        </w:rPr>
        <w:t xml:space="preserve">the benchmark </w:t>
      </w:r>
      <w:r w:rsidR="0010592A" w:rsidRPr="00040993">
        <w:rPr>
          <w:sz w:val="24"/>
          <w:szCs w:val="24"/>
        </w:rPr>
        <w:t xml:space="preserve">rate shall be </w:t>
      </w:r>
      <w:r w:rsidR="008C0EEF" w:rsidRPr="00040993">
        <w:rPr>
          <w:sz w:val="24"/>
          <w:szCs w:val="24"/>
        </w:rPr>
        <w:t>increased to $</w:t>
      </w:r>
      <w:r w:rsidR="00CB50D3">
        <w:rPr>
          <w:sz w:val="24"/>
          <w:szCs w:val="24"/>
        </w:rPr>
        <w:t>21.51</w:t>
      </w:r>
      <w:r w:rsidR="008C0EEF" w:rsidRPr="00040993">
        <w:rPr>
          <w:sz w:val="24"/>
          <w:szCs w:val="24"/>
        </w:rPr>
        <w:t>.</w:t>
      </w:r>
    </w:p>
    <w:p w:rsidR="00554D56" w:rsidRPr="00040993" w:rsidRDefault="00554D56" w:rsidP="00040993">
      <w:pPr>
        <w:rPr>
          <w:b/>
          <w:sz w:val="24"/>
          <w:szCs w:val="24"/>
        </w:rPr>
      </w:pP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b/>
          <w:sz w:val="24"/>
          <w:szCs w:val="24"/>
        </w:rPr>
        <w:tab/>
        <w:t>ORDERED FURTHER</w:t>
      </w:r>
      <w:r w:rsidRPr="00040993">
        <w:rPr>
          <w:sz w:val="24"/>
          <w:szCs w:val="24"/>
        </w:rPr>
        <w:t>, that a motion for reconsideration, rehearing, oral argument, or any other motion shall not stay the effective date of this Order, unless otherwise ordered by the Commission.</w:t>
      </w: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b/>
          <w:sz w:val="24"/>
          <w:szCs w:val="24"/>
        </w:rPr>
        <w:tab/>
        <w:t>ORDERED FURTHER</w:t>
      </w:r>
      <w:r w:rsidRPr="00040993">
        <w:rPr>
          <w:sz w:val="24"/>
          <w:szCs w:val="24"/>
        </w:rPr>
        <w:t>, that jurisdiction over this matter is expressly retained for the purpose of entering such further Order(s) as this Commission may deem just and proper.</w:t>
      </w: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sz w:val="24"/>
          <w:szCs w:val="24"/>
        </w:rPr>
        <w:tab/>
        <w:t>The above by action of the Commission in Administrative Session on the </w:t>
      </w:r>
      <w:r w:rsidR="006D25CA">
        <w:rPr>
          <w:sz w:val="24"/>
          <w:szCs w:val="24"/>
        </w:rPr>
        <w:t>1</w:t>
      </w:r>
      <w:r w:rsidR="006D25CA" w:rsidRPr="003606C7">
        <w:rPr>
          <w:sz w:val="24"/>
          <w:szCs w:val="24"/>
          <w:vertAlign w:val="superscript"/>
        </w:rPr>
        <w:t>st</w:t>
      </w:r>
      <w:r w:rsidR="006D25CA">
        <w:rPr>
          <w:sz w:val="24"/>
          <w:szCs w:val="24"/>
        </w:rPr>
        <w:t xml:space="preserve"> </w:t>
      </w:r>
      <w:r w:rsidRPr="00040993">
        <w:rPr>
          <w:sz w:val="24"/>
          <w:szCs w:val="24"/>
        </w:rPr>
        <w:t>day of</w:t>
      </w:r>
      <w:r w:rsidR="00C21157" w:rsidRPr="00040993">
        <w:rPr>
          <w:sz w:val="24"/>
          <w:szCs w:val="24"/>
        </w:rPr>
        <w:t xml:space="preserve"> </w:t>
      </w:r>
      <w:r w:rsidR="0060196A">
        <w:rPr>
          <w:sz w:val="24"/>
          <w:szCs w:val="24"/>
        </w:rPr>
        <w:t xml:space="preserve">October </w:t>
      </w:r>
      <w:r w:rsidR="006D25CA">
        <w:rPr>
          <w:sz w:val="24"/>
          <w:szCs w:val="24"/>
        </w:rPr>
        <w:t>2019</w:t>
      </w:r>
      <w:r w:rsidR="00C21157" w:rsidRPr="00040993">
        <w:rPr>
          <w:sz w:val="24"/>
          <w:szCs w:val="24"/>
        </w:rPr>
        <w:t>.</w:t>
      </w: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</w:p>
    <w:p w:rsidR="004758AA" w:rsidRPr="00040993" w:rsidRDefault="004758AA" w:rsidP="00040993">
      <w:pPr>
        <w:tabs>
          <w:tab w:val="left" w:pos="0"/>
        </w:tabs>
        <w:jc w:val="both"/>
        <w:rPr>
          <w:sz w:val="24"/>
          <w:szCs w:val="24"/>
        </w:rPr>
      </w:pP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sz w:val="24"/>
          <w:szCs w:val="24"/>
        </w:rPr>
        <w:t>____________________________</w:t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  <w:t>____________________________</w:t>
      </w: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sz w:val="24"/>
          <w:szCs w:val="24"/>
        </w:rPr>
        <w:t>Reece McAlister</w:t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="0060196A">
        <w:rPr>
          <w:sz w:val="24"/>
          <w:szCs w:val="24"/>
        </w:rPr>
        <w:t>Lauren “Bubba” McDonald</w:t>
      </w: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sz w:val="24"/>
          <w:szCs w:val="24"/>
        </w:rPr>
        <w:t>Executive Secretary</w:t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  <w:t>Chairman</w:t>
      </w: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</w:p>
    <w:p w:rsidR="004758AA" w:rsidRPr="00040993" w:rsidRDefault="004758AA" w:rsidP="00040993">
      <w:pPr>
        <w:tabs>
          <w:tab w:val="left" w:pos="0"/>
        </w:tabs>
        <w:jc w:val="both"/>
        <w:rPr>
          <w:sz w:val="24"/>
          <w:szCs w:val="24"/>
        </w:rPr>
      </w:pPr>
    </w:p>
    <w:p w:rsidR="00AD68EB" w:rsidRPr="00040993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sz w:val="24"/>
          <w:szCs w:val="24"/>
        </w:rPr>
        <w:t>____________________________</w:t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  <w:t>____________________________</w:t>
      </w:r>
    </w:p>
    <w:p w:rsidR="00AD68EB" w:rsidRPr="00554D56" w:rsidRDefault="00AD68EB" w:rsidP="00040993">
      <w:pPr>
        <w:tabs>
          <w:tab w:val="left" w:pos="0"/>
        </w:tabs>
        <w:jc w:val="both"/>
        <w:rPr>
          <w:sz w:val="24"/>
          <w:szCs w:val="24"/>
        </w:rPr>
      </w:pPr>
      <w:r w:rsidRPr="00040993">
        <w:rPr>
          <w:sz w:val="24"/>
          <w:szCs w:val="24"/>
        </w:rPr>
        <w:t>DATE</w:t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</w:r>
      <w:r w:rsidRPr="00040993">
        <w:rPr>
          <w:sz w:val="24"/>
          <w:szCs w:val="24"/>
        </w:rPr>
        <w:tab/>
        <w:t>DATE</w:t>
      </w:r>
    </w:p>
    <w:p w:rsidR="00AD68EB" w:rsidRPr="00554D56" w:rsidRDefault="00AD68EB" w:rsidP="004758AA">
      <w:pPr>
        <w:jc w:val="both"/>
        <w:rPr>
          <w:sz w:val="24"/>
          <w:szCs w:val="24"/>
        </w:rPr>
      </w:pPr>
    </w:p>
    <w:sectPr w:rsidR="00AD68EB" w:rsidRPr="00554D56">
      <w:foot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7DC" w:rsidRDefault="005707DC">
      <w:r>
        <w:separator/>
      </w:r>
    </w:p>
  </w:endnote>
  <w:endnote w:type="continuationSeparator" w:id="0">
    <w:p w:rsidR="005707DC" w:rsidRDefault="0057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BE7" w:rsidRDefault="00F20BE7" w:rsidP="00554D56">
    <w:pPr>
      <w:pStyle w:val="Footer"/>
      <w:jc w:val="center"/>
    </w:pPr>
    <w:r>
      <w:t>Order</w:t>
    </w:r>
    <w:r w:rsidR="00C21157">
      <w:t xml:space="preserve"> Adjusting Benchmark Local Service Rate for Inflation</w:t>
    </w:r>
  </w:p>
  <w:p w:rsidR="00F20BE7" w:rsidRDefault="00F20BE7" w:rsidP="00554D56">
    <w:pPr>
      <w:pStyle w:val="Footer"/>
    </w:pPr>
    <w:r>
      <w:tab/>
      <w:t xml:space="preserve">Docket No. </w:t>
    </w:r>
    <w:r w:rsidR="00C21157">
      <w:t>32235</w:t>
    </w:r>
  </w:p>
  <w:p w:rsidR="00F20BE7" w:rsidRDefault="00F20BE7">
    <w:pPr>
      <w:pStyle w:val="Footer"/>
    </w:pPr>
    <w:r>
      <w:tab/>
    </w:r>
    <w:r w:rsidRPr="00BB7A4E">
      <w:t xml:space="preserve">Page </w:t>
    </w:r>
    <w:r w:rsidRPr="00BB7A4E">
      <w:fldChar w:fldCharType="begin"/>
    </w:r>
    <w:r w:rsidRPr="00BB7A4E">
      <w:instrText xml:space="preserve"> PAGE </w:instrText>
    </w:r>
    <w:r w:rsidRPr="00BB7A4E">
      <w:fldChar w:fldCharType="separate"/>
    </w:r>
    <w:r w:rsidR="00C14F66">
      <w:rPr>
        <w:noProof/>
      </w:rPr>
      <w:t>2</w:t>
    </w:r>
    <w:r w:rsidRPr="00BB7A4E">
      <w:fldChar w:fldCharType="end"/>
    </w:r>
    <w:r w:rsidRPr="00BB7A4E">
      <w:t xml:space="preserve"> of </w:t>
    </w:r>
    <w:fldSimple w:instr=" NUMPAGES ">
      <w:r w:rsidR="00C14F6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7DC" w:rsidRDefault="005707DC">
      <w:r>
        <w:separator/>
      </w:r>
    </w:p>
  </w:footnote>
  <w:footnote w:type="continuationSeparator" w:id="0">
    <w:p w:rsidR="005707DC" w:rsidRDefault="00570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C56AE9"/>
    <w:multiLevelType w:val="hybridMultilevel"/>
    <w:tmpl w:val="7316AAB8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7D"/>
    <w:rsid w:val="000016CC"/>
    <w:rsid w:val="00015176"/>
    <w:rsid w:val="00032F7D"/>
    <w:rsid w:val="00040993"/>
    <w:rsid w:val="000765C6"/>
    <w:rsid w:val="000A08CA"/>
    <w:rsid w:val="000B100F"/>
    <w:rsid w:val="000B4C48"/>
    <w:rsid w:val="000C3A38"/>
    <w:rsid w:val="000D55FF"/>
    <w:rsid w:val="000E20A5"/>
    <w:rsid w:val="000E2B66"/>
    <w:rsid w:val="000F292B"/>
    <w:rsid w:val="00102F49"/>
    <w:rsid w:val="0010592A"/>
    <w:rsid w:val="00122BCD"/>
    <w:rsid w:val="001369D4"/>
    <w:rsid w:val="00160C09"/>
    <w:rsid w:val="001610AA"/>
    <w:rsid w:val="0016564D"/>
    <w:rsid w:val="0018606D"/>
    <w:rsid w:val="00192625"/>
    <w:rsid w:val="001C55B8"/>
    <w:rsid w:val="001D0E24"/>
    <w:rsid w:val="00202C07"/>
    <w:rsid w:val="00234A66"/>
    <w:rsid w:val="002644C8"/>
    <w:rsid w:val="00276CC5"/>
    <w:rsid w:val="002913F2"/>
    <w:rsid w:val="002E0173"/>
    <w:rsid w:val="002F1EF9"/>
    <w:rsid w:val="003238AE"/>
    <w:rsid w:val="0033233D"/>
    <w:rsid w:val="0034132D"/>
    <w:rsid w:val="003606C7"/>
    <w:rsid w:val="00386337"/>
    <w:rsid w:val="00390219"/>
    <w:rsid w:val="003C108C"/>
    <w:rsid w:val="003C7630"/>
    <w:rsid w:val="00431B3F"/>
    <w:rsid w:val="00435A5B"/>
    <w:rsid w:val="00456F1F"/>
    <w:rsid w:val="004758AA"/>
    <w:rsid w:val="00497218"/>
    <w:rsid w:val="004A1031"/>
    <w:rsid w:val="004A680D"/>
    <w:rsid w:val="00522750"/>
    <w:rsid w:val="00534C9F"/>
    <w:rsid w:val="00554D56"/>
    <w:rsid w:val="005707DC"/>
    <w:rsid w:val="0058441D"/>
    <w:rsid w:val="005B3A11"/>
    <w:rsid w:val="005D2289"/>
    <w:rsid w:val="0060196A"/>
    <w:rsid w:val="00614B1D"/>
    <w:rsid w:val="00641A22"/>
    <w:rsid w:val="006433FE"/>
    <w:rsid w:val="0066632B"/>
    <w:rsid w:val="006A226D"/>
    <w:rsid w:val="006A6FCE"/>
    <w:rsid w:val="006B7F9F"/>
    <w:rsid w:val="006D25CA"/>
    <w:rsid w:val="006F4E9A"/>
    <w:rsid w:val="006F7BF3"/>
    <w:rsid w:val="00705ADE"/>
    <w:rsid w:val="00707556"/>
    <w:rsid w:val="0071321A"/>
    <w:rsid w:val="00725BD2"/>
    <w:rsid w:val="007266B5"/>
    <w:rsid w:val="007407CC"/>
    <w:rsid w:val="00741840"/>
    <w:rsid w:val="00787BB1"/>
    <w:rsid w:val="007B3901"/>
    <w:rsid w:val="0083559F"/>
    <w:rsid w:val="00837A43"/>
    <w:rsid w:val="008531FB"/>
    <w:rsid w:val="00854317"/>
    <w:rsid w:val="00860E23"/>
    <w:rsid w:val="008931C4"/>
    <w:rsid w:val="008968AA"/>
    <w:rsid w:val="008A3DA6"/>
    <w:rsid w:val="008C0EEF"/>
    <w:rsid w:val="008C1AEE"/>
    <w:rsid w:val="008C360B"/>
    <w:rsid w:val="008E245D"/>
    <w:rsid w:val="008E6DAF"/>
    <w:rsid w:val="008F1CB7"/>
    <w:rsid w:val="008F7583"/>
    <w:rsid w:val="00927B3E"/>
    <w:rsid w:val="00950158"/>
    <w:rsid w:val="00953065"/>
    <w:rsid w:val="00960454"/>
    <w:rsid w:val="00975D1F"/>
    <w:rsid w:val="0098406B"/>
    <w:rsid w:val="009C77C6"/>
    <w:rsid w:val="009E07C6"/>
    <w:rsid w:val="009E4321"/>
    <w:rsid w:val="00A00890"/>
    <w:rsid w:val="00A127CF"/>
    <w:rsid w:val="00A33152"/>
    <w:rsid w:val="00A36558"/>
    <w:rsid w:val="00A46BAD"/>
    <w:rsid w:val="00A61C89"/>
    <w:rsid w:val="00A85475"/>
    <w:rsid w:val="00AA2180"/>
    <w:rsid w:val="00AA794C"/>
    <w:rsid w:val="00AB54F3"/>
    <w:rsid w:val="00AC6C5B"/>
    <w:rsid w:val="00AD68EB"/>
    <w:rsid w:val="00AF4834"/>
    <w:rsid w:val="00AF5C21"/>
    <w:rsid w:val="00B6015F"/>
    <w:rsid w:val="00B92B50"/>
    <w:rsid w:val="00BB586D"/>
    <w:rsid w:val="00BD616A"/>
    <w:rsid w:val="00BE4450"/>
    <w:rsid w:val="00BF783A"/>
    <w:rsid w:val="00BF7BD4"/>
    <w:rsid w:val="00C14F66"/>
    <w:rsid w:val="00C21157"/>
    <w:rsid w:val="00C35969"/>
    <w:rsid w:val="00C5238C"/>
    <w:rsid w:val="00CB06A3"/>
    <w:rsid w:val="00CB50D3"/>
    <w:rsid w:val="00CC5C48"/>
    <w:rsid w:val="00CC778E"/>
    <w:rsid w:val="00CD35EA"/>
    <w:rsid w:val="00D3038C"/>
    <w:rsid w:val="00D426D2"/>
    <w:rsid w:val="00D62AAC"/>
    <w:rsid w:val="00D85AC2"/>
    <w:rsid w:val="00D91A32"/>
    <w:rsid w:val="00D92792"/>
    <w:rsid w:val="00DE79A8"/>
    <w:rsid w:val="00DF3244"/>
    <w:rsid w:val="00DF4D83"/>
    <w:rsid w:val="00E0628B"/>
    <w:rsid w:val="00E10629"/>
    <w:rsid w:val="00E35B9E"/>
    <w:rsid w:val="00E62D11"/>
    <w:rsid w:val="00E64391"/>
    <w:rsid w:val="00E81EF0"/>
    <w:rsid w:val="00EA3A6B"/>
    <w:rsid w:val="00EA746D"/>
    <w:rsid w:val="00EF4CAE"/>
    <w:rsid w:val="00EF6420"/>
    <w:rsid w:val="00F05E32"/>
    <w:rsid w:val="00F1619B"/>
    <w:rsid w:val="00F20BE7"/>
    <w:rsid w:val="00F311E9"/>
    <w:rsid w:val="00F35815"/>
    <w:rsid w:val="00F5440E"/>
    <w:rsid w:val="00F95D5C"/>
    <w:rsid w:val="00FC308B"/>
    <w:rsid w:val="00FD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70270A-5702-43B8-99B7-D7A17CAD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pBdr>
        <w:bottom w:val="double" w:sz="6" w:space="1" w:color="auto"/>
      </w:pBdr>
      <w:jc w:val="both"/>
      <w:outlineLvl w:val="1"/>
    </w:pPr>
    <w:rPr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AD68EB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rsid w:val="00554D5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54D5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1369D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33233D"/>
  </w:style>
  <w:style w:type="character" w:customStyle="1" w:styleId="FootnoteTextChar">
    <w:name w:val="Footnote Text Char"/>
    <w:basedOn w:val="DefaultParagraphFont"/>
    <w:link w:val="FootnoteText"/>
    <w:rsid w:val="0033233D"/>
  </w:style>
  <w:style w:type="character" w:styleId="FootnoteReference">
    <w:name w:val="footnote reference"/>
    <w:rsid w:val="003323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</vt:lpstr>
    </vt:vector>
  </TitlesOfParts>
  <Company>gpsc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</dc:title>
  <dc:creator>patrickr</dc:creator>
  <cp:lastModifiedBy>Patrick Reinhardt</cp:lastModifiedBy>
  <cp:revision>2</cp:revision>
  <cp:lastPrinted>2018-10-02T18:59:00Z</cp:lastPrinted>
  <dcterms:created xsi:type="dcterms:W3CDTF">2019-10-03T21:39:00Z</dcterms:created>
  <dcterms:modified xsi:type="dcterms:W3CDTF">2019-10-03T21:39:00Z</dcterms:modified>
</cp:coreProperties>
</file>